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789"/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8"/>
        <w:gridCol w:w="5508"/>
      </w:tblGrid>
      <w:tr w:rsidR="008205EC" w:rsidRPr="00D91F76" w14:paraId="1BF7C00D" w14:textId="77777777" w:rsidTr="008205EC">
        <w:trPr>
          <w:trHeight w:val="548"/>
        </w:trPr>
        <w:tc>
          <w:tcPr>
            <w:tcW w:w="5508" w:type="dxa"/>
            <w:shd w:val="clear" w:color="auto" w:fill="auto"/>
          </w:tcPr>
          <w:p w14:paraId="4A1CD2FA" w14:textId="056B6C7A" w:rsidR="008205EC" w:rsidRPr="00D91F76" w:rsidRDefault="008205EC" w:rsidP="008205E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bookmarkStart w:id="0" w:name="_GoBack"/>
            <w:bookmarkEnd w:id="0"/>
            <w:r w:rsidRPr="00D91F76">
              <w:rPr>
                <w:rFonts w:eastAsia="Times New Roman" w:cs="Times New Roman"/>
                <w:b/>
              </w:rPr>
              <w:t xml:space="preserve">LEA:  </w:t>
            </w:r>
            <w:r w:rsidR="00FA0B40" w:rsidRPr="009058A0">
              <w:rPr>
                <w:rFonts w:eastAsia="Times New Roman" w:cs="Times New Roman"/>
              </w:rPr>
              <w:t>Evans-Brant Central School District</w:t>
            </w:r>
          </w:p>
        </w:tc>
        <w:tc>
          <w:tcPr>
            <w:tcW w:w="5508" w:type="dxa"/>
            <w:shd w:val="clear" w:color="auto" w:fill="auto"/>
          </w:tcPr>
          <w:p w14:paraId="4ED6A7FF" w14:textId="44152A1D" w:rsidR="008205EC" w:rsidRPr="00D91F76" w:rsidRDefault="008205EC" w:rsidP="008205E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FOR TITLE:  </w:t>
            </w:r>
            <w:r w:rsidR="007673E3">
              <w:t xml:space="preserve"> </w:t>
            </w:r>
            <w:r w:rsidR="007673E3" w:rsidRPr="007673E3">
              <w:rPr>
                <w:rFonts w:eastAsia="Times New Roman" w:cs="Times New Roman"/>
              </w:rPr>
              <w:t>Comprehensive After School</w:t>
            </w:r>
          </w:p>
        </w:tc>
      </w:tr>
      <w:tr w:rsidR="008205EC" w:rsidRPr="00D91F76" w14:paraId="398D0CFE" w14:textId="77777777" w:rsidTr="008205EC">
        <w:trPr>
          <w:trHeight w:val="539"/>
        </w:trPr>
        <w:tc>
          <w:tcPr>
            <w:tcW w:w="11016" w:type="dxa"/>
            <w:gridSpan w:val="2"/>
            <w:shd w:val="clear" w:color="auto" w:fill="auto"/>
          </w:tcPr>
          <w:p w14:paraId="0A8F611B" w14:textId="66A5ECB8" w:rsidR="008205EC" w:rsidRPr="00D91F76" w:rsidRDefault="008205EC" w:rsidP="008205E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BEDSCODE:  </w:t>
            </w:r>
            <w:r w:rsidR="00BB2658" w:rsidRPr="00BB2658">
              <w:rPr>
                <w:rFonts w:eastAsia="Times New Roman" w:cs="Times New Roman"/>
              </w:rPr>
              <w:t>588</w:t>
            </w:r>
            <w:r w:rsidR="007673E3">
              <w:rPr>
                <w:rFonts w:eastAsia="Times New Roman" w:cs="Times New Roman"/>
              </w:rPr>
              <w:t>3</w:t>
            </w:r>
            <w:r w:rsidR="00BB2658" w:rsidRPr="00BB2658">
              <w:rPr>
                <w:rFonts w:eastAsia="Times New Roman" w:cs="Times New Roman"/>
              </w:rPr>
              <w:t>-21-0790</w:t>
            </w:r>
          </w:p>
        </w:tc>
      </w:tr>
    </w:tbl>
    <w:p w14:paraId="73385159" w14:textId="4F238223" w:rsidR="00D91F76" w:rsidRPr="00D91F76" w:rsidRDefault="00D91F76" w:rsidP="00D91F76">
      <w:pPr>
        <w:jc w:val="center"/>
        <w:rPr>
          <w:rFonts w:eastAsia="Times New Roman" w:cs="Times New Roman"/>
          <w:b/>
        </w:rPr>
      </w:pPr>
      <w:r w:rsidRPr="00D91F76">
        <w:rPr>
          <w:rFonts w:eastAsia="Times New Roman" w:cs="Times New Roman"/>
          <w:b/>
        </w:rPr>
        <w:t>BUDGET NARRATIVE</w:t>
      </w:r>
      <w:r w:rsidR="00BA43A1">
        <w:rPr>
          <w:rFonts w:eastAsia="Times New Roman" w:cs="Times New Roman"/>
          <w:b/>
        </w:rPr>
        <w:t xml:space="preserve"> - </w:t>
      </w:r>
      <w:r w:rsidR="00BA43A1" w:rsidRPr="007673E3">
        <w:rPr>
          <w:rFonts w:eastAsia="Times New Roman" w:cs="Times New Roman"/>
        </w:rPr>
        <w:t>Comprehensive After School</w:t>
      </w:r>
    </w:p>
    <w:p w14:paraId="5295C4CF" w14:textId="77777777" w:rsidR="00D91F76" w:rsidRDefault="00D91F76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56AC0E3E" w14:textId="77777777" w:rsidR="008205EC" w:rsidRPr="00D91F76" w:rsidRDefault="008205EC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21AB4095" w14:textId="77777777" w:rsidR="00D91F76" w:rsidRPr="00D91F76" w:rsidRDefault="00D91F76" w:rsidP="00D91F76">
      <w:pPr>
        <w:pBdr>
          <w:top w:val="single" w:sz="4" w:space="1" w:color="auto"/>
          <w:bottom w:val="single" w:sz="4" w:space="1" w:color="auto"/>
        </w:pBdr>
        <w:rPr>
          <w:rFonts w:eastAsia="Times New Roman" w:cs="Times New Roman"/>
          <w:b/>
          <w:szCs w:val="20"/>
        </w:rPr>
      </w:pPr>
      <w:r w:rsidRPr="00D91F76">
        <w:rPr>
          <w:rFonts w:eastAsia="Times New Roman" w:cs="Times New Roman"/>
          <w:b/>
          <w:szCs w:val="20"/>
        </w:rPr>
        <w:t xml:space="preserve">** MUST BE SUBMITTED WITH EACH BUDGET IN THE CONSOLIDATED APPLICATION </w:t>
      </w:r>
    </w:p>
    <w:p w14:paraId="41D968B9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</w:p>
    <w:p w14:paraId="4C935DD1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  <w:r w:rsidRPr="00D91F76">
        <w:rPr>
          <w:rFonts w:eastAsia="Times New Roman" w:cs="Times New Roman"/>
          <w:b/>
          <w:szCs w:val="20"/>
        </w:rPr>
        <w:t>If using Transferability, please indicate on the Budget Narrative and FS-10 the amount of funds to be included under transferability in the budget categories where funds will be used.  Example:  In the Title IIA budget under Code 15 – Transferability - Title I Reading Teacher – FTE.35 - $15,000.</w:t>
      </w:r>
    </w:p>
    <w:p w14:paraId="4C83083F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</w:p>
    <w:tbl>
      <w:tblPr>
        <w:tblW w:w="109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5"/>
        <w:gridCol w:w="8025"/>
      </w:tblGrid>
      <w:tr w:rsidR="00D91F76" w:rsidRPr="00D91F76" w14:paraId="076C7236" w14:textId="77777777" w:rsidTr="00BA43A1">
        <w:trPr>
          <w:trHeight w:val="562"/>
          <w:tblHeader/>
        </w:trPr>
        <w:tc>
          <w:tcPr>
            <w:tcW w:w="2885" w:type="dxa"/>
          </w:tcPr>
          <w:p w14:paraId="59E03340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CODE/</w:t>
            </w:r>
          </w:p>
          <w:p w14:paraId="091AFA5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BUDGET CATEGORY</w:t>
            </w:r>
          </w:p>
        </w:tc>
        <w:tc>
          <w:tcPr>
            <w:tcW w:w="8025" w:type="dxa"/>
          </w:tcPr>
          <w:p w14:paraId="6B02982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EXPLANATION OF EXPENDITURES IN THIS CATEGORY</w:t>
            </w:r>
          </w:p>
          <w:p w14:paraId="5D93BAA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(as it relates to the program narrative for this title)</w:t>
            </w:r>
          </w:p>
        </w:tc>
      </w:tr>
      <w:tr w:rsidR="00D91F76" w:rsidRPr="00D91F76" w14:paraId="159C63BC" w14:textId="77777777" w:rsidTr="00BA43A1">
        <w:trPr>
          <w:trHeight w:val="1310"/>
        </w:trPr>
        <w:tc>
          <w:tcPr>
            <w:tcW w:w="2885" w:type="dxa"/>
          </w:tcPr>
          <w:p w14:paraId="6666376A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15</w:t>
            </w:r>
          </w:p>
          <w:p w14:paraId="7A68C76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Professional Salaries</w:t>
            </w:r>
          </w:p>
        </w:tc>
        <w:tc>
          <w:tcPr>
            <w:tcW w:w="8025" w:type="dxa"/>
          </w:tcPr>
          <w:p w14:paraId="71464EDA" w14:textId="6E87D74E" w:rsidR="00D91F76" w:rsidRDefault="000D2F43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 xml:space="preserve">This allotment will be support </w:t>
            </w:r>
            <w:r w:rsidR="007673E3">
              <w:rPr>
                <w:rFonts w:eastAsia="Times New Roman" w:cs="Times New Roman"/>
                <w:i/>
                <w:szCs w:val="20"/>
              </w:rPr>
              <w:t>hourly rates for employees for K-6 intramurals</w:t>
            </w:r>
            <w:r w:rsidR="00096F27">
              <w:rPr>
                <w:rFonts w:eastAsia="Times New Roman" w:cs="Times New Roman"/>
                <w:i/>
                <w:szCs w:val="20"/>
              </w:rPr>
              <w:t xml:space="preserve"> (clubs, enrichment)</w:t>
            </w:r>
            <w:r w:rsidR="007673E3">
              <w:rPr>
                <w:rFonts w:eastAsia="Times New Roman" w:cs="Times New Roman"/>
                <w:i/>
                <w:szCs w:val="20"/>
              </w:rPr>
              <w:t>, Secondary After School Review, K-12 Academic Support, and K-12 Before and After School Enrichment.</w:t>
            </w:r>
            <w:r w:rsidR="00BA43A1">
              <w:rPr>
                <w:rFonts w:eastAsia="Times New Roman" w:cs="Times New Roman"/>
                <w:i/>
                <w:szCs w:val="20"/>
              </w:rPr>
              <w:t xml:space="preserve"> After school programs improve school-day attendance and improve academic performance through providing socialization and peer attention in a supervised venue. </w:t>
            </w:r>
          </w:p>
          <w:p w14:paraId="78ACBB5A" w14:textId="11B7B1B7" w:rsidR="00BA43A1" w:rsidRPr="00D91F76" w:rsidRDefault="00BA43A1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 xml:space="preserve">This will also allow for our K-12 students to get afterschool review, support and enrichment which will help high school students to graduate on time, prevent drop outs, increase attendance and increase academic support in small groups. </w:t>
            </w:r>
          </w:p>
        </w:tc>
      </w:tr>
      <w:tr w:rsidR="00D91F76" w:rsidRPr="00D91F76" w14:paraId="3473F2DF" w14:textId="77777777" w:rsidTr="00BA43A1">
        <w:trPr>
          <w:trHeight w:val="1447"/>
        </w:trPr>
        <w:tc>
          <w:tcPr>
            <w:tcW w:w="2885" w:type="dxa"/>
          </w:tcPr>
          <w:p w14:paraId="2BAAD679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16</w:t>
            </w:r>
          </w:p>
          <w:p w14:paraId="53F2BC1E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Support Staff Salaries</w:t>
            </w:r>
          </w:p>
        </w:tc>
        <w:tc>
          <w:tcPr>
            <w:tcW w:w="8025" w:type="dxa"/>
          </w:tcPr>
          <w:p w14:paraId="2227B4C6" w14:textId="62A0D35C" w:rsidR="00D91F76" w:rsidRPr="00D91F76" w:rsidRDefault="00220EEE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This allotment allows for</w:t>
            </w:r>
            <w:r w:rsidR="00F710D6">
              <w:rPr>
                <w:rFonts w:eastAsia="Times New Roman" w:cs="Times New Roman"/>
                <w:i/>
                <w:szCs w:val="20"/>
              </w:rPr>
              <w:t xml:space="preserve"> the hourly rate for bus drivers for our K-12 Before and After School Enrichment and other after school programs over the three years. </w:t>
            </w:r>
          </w:p>
          <w:p w14:paraId="684EDCA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45A19174" w14:textId="77777777" w:rsidTr="00BA43A1">
        <w:trPr>
          <w:trHeight w:val="1464"/>
        </w:trPr>
        <w:tc>
          <w:tcPr>
            <w:tcW w:w="2885" w:type="dxa"/>
          </w:tcPr>
          <w:p w14:paraId="5F3926AF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40</w:t>
            </w:r>
          </w:p>
          <w:p w14:paraId="2E8DE0F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Purchased Services</w:t>
            </w:r>
          </w:p>
        </w:tc>
        <w:tc>
          <w:tcPr>
            <w:tcW w:w="8025" w:type="dxa"/>
          </w:tcPr>
          <w:p w14:paraId="13FC31F5" w14:textId="0F87EB7A" w:rsidR="00D91F76" w:rsidRPr="00D91F76" w:rsidRDefault="00646D69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 xml:space="preserve">This portion of the grant will allow us to partner with our local Boys and Girls Club who will design some after school programming for our Middle School kids. </w:t>
            </w:r>
            <w:r w:rsidR="00BA43A1">
              <w:rPr>
                <w:rFonts w:eastAsia="Times New Roman" w:cs="Times New Roman"/>
                <w:i/>
                <w:szCs w:val="20"/>
              </w:rPr>
              <w:t>After school programs improve school-day attendance and improve academic performance through providing socialization and peer attention in a supervised venue.</w:t>
            </w:r>
          </w:p>
          <w:p w14:paraId="4D154FC2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D23954E" w14:textId="77777777" w:rsidTr="00BA43A1">
        <w:trPr>
          <w:trHeight w:val="1473"/>
        </w:trPr>
        <w:tc>
          <w:tcPr>
            <w:tcW w:w="2885" w:type="dxa"/>
          </w:tcPr>
          <w:p w14:paraId="6255F00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45</w:t>
            </w:r>
          </w:p>
          <w:p w14:paraId="15E5EAB4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Supplies and Materials</w:t>
            </w:r>
          </w:p>
        </w:tc>
        <w:tc>
          <w:tcPr>
            <w:tcW w:w="8025" w:type="dxa"/>
          </w:tcPr>
          <w:p w14:paraId="3069AAAC" w14:textId="1243CC54" w:rsidR="00D91F76" w:rsidRPr="00D91F76" w:rsidRDefault="00646D69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This allotment allows for us to purchase supplies and materials for K-12 Before and After School Enrichment.</w:t>
            </w:r>
            <w:r w:rsidR="00BA43A1">
              <w:rPr>
                <w:rFonts w:eastAsia="Times New Roman" w:cs="Times New Roman"/>
                <w:i/>
                <w:szCs w:val="20"/>
              </w:rPr>
              <w:t xml:space="preserve"> After school programs improve school-day attendance and improve academic performance through providing socialization and peer attention in a supervised venue.</w:t>
            </w:r>
          </w:p>
          <w:p w14:paraId="60C55390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12433ED" w14:textId="77777777" w:rsidTr="00BA43A1">
        <w:trPr>
          <w:trHeight w:val="1464"/>
        </w:trPr>
        <w:tc>
          <w:tcPr>
            <w:tcW w:w="2885" w:type="dxa"/>
          </w:tcPr>
          <w:p w14:paraId="29238A9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46</w:t>
            </w:r>
          </w:p>
          <w:p w14:paraId="5388474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Travel Expenses</w:t>
            </w:r>
          </w:p>
        </w:tc>
        <w:tc>
          <w:tcPr>
            <w:tcW w:w="8025" w:type="dxa"/>
          </w:tcPr>
          <w:p w14:paraId="2E233DC5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1"/>
          </w:p>
          <w:p w14:paraId="1905734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</w:tbl>
    <w:p w14:paraId="64E8C95C" w14:textId="77777777" w:rsidR="00D91F76" w:rsidRPr="00D91F76" w:rsidRDefault="00D91F76" w:rsidP="00D91F76">
      <w:pPr>
        <w:rPr>
          <w:rFonts w:eastAsia="Times New Roman" w:cs="Times New Roman"/>
          <w:b/>
          <w:sz w:val="20"/>
          <w:szCs w:val="20"/>
        </w:rPr>
      </w:pPr>
      <w:r w:rsidRPr="00D91F76">
        <w:rPr>
          <w:rFonts w:eastAsia="Times New Roman" w:cs="Times New Roman"/>
          <w:b/>
          <w:szCs w:val="20"/>
        </w:rPr>
        <w:br w:type="page"/>
      </w: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8010"/>
      </w:tblGrid>
      <w:tr w:rsidR="00D91F76" w:rsidRPr="00D91F76" w14:paraId="41D6C897" w14:textId="77777777" w:rsidTr="00045A33">
        <w:trPr>
          <w:trHeight w:val="1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C74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lastRenderedPageBreak/>
              <w:t>CODE/</w:t>
            </w:r>
          </w:p>
          <w:p w14:paraId="7B8D5102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BUDGET CATEGORY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B5E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EXPLANATION OF EXPENDITURES IN THIS CATEGORY</w:t>
            </w:r>
          </w:p>
          <w:p w14:paraId="2D73783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(as it relates to the program narrative for this title)</w:t>
            </w:r>
          </w:p>
        </w:tc>
      </w:tr>
      <w:tr w:rsidR="00D91F76" w:rsidRPr="00D91F76" w14:paraId="49296924" w14:textId="77777777" w:rsidTr="00045A33">
        <w:trPr>
          <w:trHeight w:val="1360"/>
        </w:trPr>
        <w:tc>
          <w:tcPr>
            <w:tcW w:w="2880" w:type="dxa"/>
          </w:tcPr>
          <w:p w14:paraId="67DA2C0F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80</w:t>
            </w:r>
          </w:p>
          <w:p w14:paraId="37D9282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Employee Benefits</w:t>
            </w:r>
          </w:p>
        </w:tc>
        <w:tc>
          <w:tcPr>
            <w:tcW w:w="8010" w:type="dxa"/>
          </w:tcPr>
          <w:p w14:paraId="20E6E8F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2"/>
          </w:p>
          <w:p w14:paraId="5584226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FB3CD05" w14:textId="77777777" w:rsidTr="00045A33">
        <w:trPr>
          <w:trHeight w:val="1360"/>
        </w:trPr>
        <w:tc>
          <w:tcPr>
            <w:tcW w:w="2880" w:type="dxa"/>
          </w:tcPr>
          <w:p w14:paraId="54B37719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90</w:t>
            </w:r>
          </w:p>
          <w:p w14:paraId="03ECDEF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Indirect Cost</w:t>
            </w:r>
          </w:p>
        </w:tc>
        <w:tc>
          <w:tcPr>
            <w:tcW w:w="8010" w:type="dxa"/>
          </w:tcPr>
          <w:p w14:paraId="3131636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3"/>
          </w:p>
          <w:p w14:paraId="4EBEFB19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657869E3" w14:textId="77777777" w:rsidTr="00045A33">
        <w:trPr>
          <w:trHeight w:val="1360"/>
        </w:trPr>
        <w:tc>
          <w:tcPr>
            <w:tcW w:w="2880" w:type="dxa"/>
          </w:tcPr>
          <w:p w14:paraId="7FCCF19C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49</w:t>
            </w:r>
          </w:p>
          <w:p w14:paraId="745DE1B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BOCES Services</w:t>
            </w:r>
          </w:p>
        </w:tc>
        <w:tc>
          <w:tcPr>
            <w:tcW w:w="8010" w:type="dxa"/>
          </w:tcPr>
          <w:p w14:paraId="50A9D112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4"/>
          </w:p>
          <w:p w14:paraId="1DC68F69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C0D6022" w14:textId="77777777" w:rsidTr="00045A33">
        <w:trPr>
          <w:trHeight w:val="1360"/>
        </w:trPr>
        <w:tc>
          <w:tcPr>
            <w:tcW w:w="2880" w:type="dxa"/>
          </w:tcPr>
          <w:p w14:paraId="578312E3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30</w:t>
            </w:r>
          </w:p>
          <w:p w14:paraId="5A787E1B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Minor Remodeling</w:t>
            </w:r>
          </w:p>
        </w:tc>
        <w:tc>
          <w:tcPr>
            <w:tcW w:w="8010" w:type="dxa"/>
          </w:tcPr>
          <w:p w14:paraId="5B8AC45F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5"/>
          </w:p>
          <w:p w14:paraId="759C664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35AB0FCC" w14:textId="77777777" w:rsidTr="00045A33">
        <w:trPr>
          <w:trHeight w:val="1360"/>
        </w:trPr>
        <w:tc>
          <w:tcPr>
            <w:tcW w:w="2880" w:type="dxa"/>
          </w:tcPr>
          <w:p w14:paraId="782DA8D4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20</w:t>
            </w:r>
          </w:p>
          <w:p w14:paraId="0AB2BADD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Equipment</w:t>
            </w:r>
          </w:p>
        </w:tc>
        <w:tc>
          <w:tcPr>
            <w:tcW w:w="8010" w:type="dxa"/>
          </w:tcPr>
          <w:p w14:paraId="05B76EDB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6"/>
          </w:p>
          <w:p w14:paraId="69246E5F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</w:tbl>
    <w:p w14:paraId="7E89E46A" w14:textId="77777777" w:rsidR="00D91F76" w:rsidRPr="00D91F76" w:rsidRDefault="00D91F76" w:rsidP="00D91F76">
      <w:pPr>
        <w:keepNext/>
        <w:jc w:val="center"/>
        <w:outlineLvl w:val="3"/>
        <w:rPr>
          <w:rFonts w:eastAsia="Times New Roman" w:cs="Times New Roman"/>
          <w:szCs w:val="20"/>
        </w:rPr>
      </w:pPr>
    </w:p>
    <w:p w14:paraId="0B0CB883" w14:textId="77777777" w:rsidR="00F835A5" w:rsidRDefault="00F835A5"/>
    <w:sectPr w:rsidR="00F835A5" w:rsidSect="00D91F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44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C58EB" w14:textId="77777777" w:rsidR="00245E32" w:rsidRDefault="00245E32" w:rsidP="00531B52">
      <w:r>
        <w:separator/>
      </w:r>
    </w:p>
  </w:endnote>
  <w:endnote w:type="continuationSeparator" w:id="0">
    <w:p w14:paraId="286E78E5" w14:textId="77777777" w:rsidR="00245E32" w:rsidRDefault="00245E32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F3525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1650F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D1297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F32C4" w14:textId="77777777" w:rsidR="00245E32" w:rsidRDefault="00245E32" w:rsidP="00531B52">
      <w:r>
        <w:separator/>
      </w:r>
    </w:p>
  </w:footnote>
  <w:footnote w:type="continuationSeparator" w:id="0">
    <w:p w14:paraId="599AEBEA" w14:textId="77777777" w:rsidR="00245E32" w:rsidRDefault="00245E32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BE907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6B5AC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73E23" w14:textId="77777777" w:rsidR="00531B52" w:rsidRDefault="00531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revisionView w:inkAnnotation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F76"/>
    <w:rsid w:val="000962D3"/>
    <w:rsid w:val="00096F27"/>
    <w:rsid w:val="000C7E16"/>
    <w:rsid w:val="000D2F43"/>
    <w:rsid w:val="00105619"/>
    <w:rsid w:val="001258E3"/>
    <w:rsid w:val="00192CC7"/>
    <w:rsid w:val="00220EEE"/>
    <w:rsid w:val="00245E32"/>
    <w:rsid w:val="002C1C26"/>
    <w:rsid w:val="003A5347"/>
    <w:rsid w:val="003B6DF9"/>
    <w:rsid w:val="00531B52"/>
    <w:rsid w:val="00646D69"/>
    <w:rsid w:val="006B51E5"/>
    <w:rsid w:val="006C30C6"/>
    <w:rsid w:val="007673E3"/>
    <w:rsid w:val="008205EC"/>
    <w:rsid w:val="008F1BAB"/>
    <w:rsid w:val="009058A0"/>
    <w:rsid w:val="009915D8"/>
    <w:rsid w:val="00AA0383"/>
    <w:rsid w:val="00BA43A1"/>
    <w:rsid w:val="00BB2658"/>
    <w:rsid w:val="00BE5DCB"/>
    <w:rsid w:val="00C34C1B"/>
    <w:rsid w:val="00D91F76"/>
    <w:rsid w:val="00DE5B6E"/>
    <w:rsid w:val="00E146D5"/>
    <w:rsid w:val="00F66727"/>
    <w:rsid w:val="00F710D6"/>
    <w:rsid w:val="00F835A5"/>
    <w:rsid w:val="00FA0B40"/>
    <w:rsid w:val="00FB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3054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2022-10-19T19:21:00Z</dcterms:created>
  <dcterms:modified xsi:type="dcterms:W3CDTF">2022-10-19T19:21:00Z</dcterms:modified>
</cp:coreProperties>
</file>